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C1AD4" w14:textId="208690C6" w:rsidR="00F170EB" w:rsidRPr="00F170EB" w:rsidRDefault="00F170EB" w:rsidP="00F170EB">
      <w:pPr>
        <w:tabs>
          <w:tab w:val="left" w:pos="1985"/>
        </w:tabs>
        <w:spacing w:after="0"/>
        <w:ind w:left="0" w:firstLine="0"/>
        <w:rPr>
          <w:rFonts w:ascii="Arial" w:hAnsi="Arial" w:cs="Arial"/>
          <w:b/>
          <w:bCs/>
          <w:sz w:val="28"/>
        </w:rPr>
      </w:pPr>
      <w:r w:rsidRPr="00F170EB">
        <w:rPr>
          <w:rFonts w:ascii="Arial" w:hAnsi="Arial" w:cs="Arial"/>
          <w:b/>
          <w:bCs/>
          <w:sz w:val="28"/>
        </w:rPr>
        <w:t>3GPP TSG RAN WG1 #98</w:t>
      </w:r>
      <w:r w:rsidRPr="00F170EB">
        <w:rPr>
          <w:rFonts w:ascii="Arial" w:hAnsi="Arial" w:cs="Arial"/>
          <w:b/>
          <w:bCs/>
          <w:sz w:val="28"/>
        </w:rPr>
        <w:tab/>
      </w:r>
      <w:r w:rsidRPr="00F170EB">
        <w:rPr>
          <w:rFonts w:ascii="Arial" w:hAnsi="Arial" w:cs="Arial"/>
          <w:b/>
          <w:bCs/>
          <w:sz w:val="28"/>
        </w:rPr>
        <w:tab/>
      </w:r>
      <w:r w:rsidRPr="00F170EB">
        <w:rPr>
          <w:rFonts w:ascii="Arial" w:hAnsi="Arial" w:cs="Arial"/>
          <w:b/>
          <w:bCs/>
          <w:sz w:val="28"/>
        </w:rPr>
        <w:tab/>
      </w:r>
      <w:r w:rsidRPr="00F170EB">
        <w:rPr>
          <w:rFonts w:ascii="Arial" w:hAnsi="Arial" w:cs="Arial"/>
          <w:b/>
          <w:bCs/>
          <w:sz w:val="28"/>
        </w:rPr>
        <w:tab/>
      </w:r>
      <w:r w:rsidRPr="00F170EB">
        <w:rPr>
          <w:rFonts w:ascii="Arial" w:hAnsi="Arial" w:cs="Arial"/>
          <w:b/>
          <w:bCs/>
          <w:sz w:val="28"/>
        </w:rPr>
        <w:tab/>
      </w:r>
      <w:r w:rsidRPr="00F170EB">
        <w:rPr>
          <w:rFonts w:ascii="Arial" w:hAnsi="Arial" w:cs="Arial"/>
          <w:b/>
          <w:bCs/>
          <w:sz w:val="28"/>
        </w:rPr>
        <w:tab/>
        <w:t>R1-</w:t>
      </w:r>
      <w:r w:rsidR="00CC0B61" w:rsidRPr="00F170EB">
        <w:rPr>
          <w:rFonts w:ascii="Arial" w:hAnsi="Arial" w:cs="Arial"/>
          <w:b/>
          <w:bCs/>
          <w:sz w:val="28"/>
        </w:rPr>
        <w:t>19</w:t>
      </w:r>
      <w:r w:rsidR="00CC0B61">
        <w:rPr>
          <w:rFonts w:ascii="Arial" w:hAnsi="Arial" w:cs="Arial"/>
          <w:b/>
          <w:bCs/>
          <w:sz w:val="28"/>
        </w:rPr>
        <w:t>08546</w:t>
      </w:r>
    </w:p>
    <w:p w14:paraId="2C83BDF5" w14:textId="4E3E36B1" w:rsidR="0093135E" w:rsidRPr="00EB6D38" w:rsidRDefault="00F170EB" w:rsidP="00F170EB">
      <w:pPr>
        <w:tabs>
          <w:tab w:val="left" w:pos="1985"/>
        </w:tabs>
        <w:spacing w:after="0"/>
        <w:ind w:left="0" w:firstLine="0"/>
        <w:rPr>
          <w:rFonts w:ascii="Arial" w:hAnsi="Arial" w:cs="Arial"/>
          <w:b/>
          <w:bCs/>
          <w:sz w:val="28"/>
        </w:rPr>
      </w:pPr>
      <w:r w:rsidRPr="00F170EB">
        <w:rPr>
          <w:rFonts w:ascii="Arial" w:hAnsi="Arial" w:cs="Arial"/>
          <w:b/>
          <w:bCs/>
          <w:sz w:val="28"/>
        </w:rPr>
        <w:t>Prague, CZ, August 26th – 30th, 2019</w:t>
      </w:r>
    </w:p>
    <w:p w14:paraId="1DA2E8F8" w14:textId="74A93795"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B44B53">
        <w:rPr>
          <w:rFonts w:ascii="Arial" w:eastAsia="맑은 고딕" w:hAnsi="Arial"/>
          <w:sz w:val="24"/>
          <w:lang w:val="en-US" w:eastAsia="ko-KR"/>
        </w:rPr>
        <w:t>7.2.6.6</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7CB6DDF7"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44B53" w:rsidRPr="00B44B53">
        <w:rPr>
          <w:rFonts w:ascii="Arial" w:hAnsi="Arial"/>
          <w:sz w:val="24"/>
        </w:rPr>
        <w:t>Enhanced UL configured grant transmission for NR URLLC</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7975C44E" w:rsidR="001B635E" w:rsidRDefault="00295DA9" w:rsidP="00797AE7">
      <w:pPr>
        <w:pStyle w:val="Doc"/>
        <w:rPr>
          <w:lang w:val="en-GB"/>
        </w:rPr>
      </w:pPr>
      <w:r>
        <w:rPr>
          <w:lang w:val="en-GB"/>
        </w:rPr>
        <w:t>In RAN1#</w:t>
      </w:r>
      <w:r w:rsidR="00B44B53">
        <w:rPr>
          <w:lang w:val="en-GB"/>
        </w:rPr>
        <w:t>9</w:t>
      </w:r>
      <w:r w:rsidR="00F170EB">
        <w:rPr>
          <w:lang w:val="en-GB"/>
        </w:rPr>
        <w:t>7</w:t>
      </w:r>
      <w:r w:rsidR="00AB1A7F">
        <w:rPr>
          <w:lang w:val="en-GB"/>
        </w:rPr>
        <w:t>, followings</w:t>
      </w:r>
      <w:r w:rsidR="00797AE7">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3A9D8C9E" w14:textId="77777777" w:rsidR="00F170EB" w:rsidRPr="00B35B87" w:rsidRDefault="00F170EB" w:rsidP="00F170EB">
            <w:pPr>
              <w:pStyle w:val="agreementHEAD"/>
              <w:rPr>
                <w:highlight w:val="green"/>
              </w:rPr>
            </w:pPr>
            <w:r w:rsidRPr="00B35B87">
              <w:rPr>
                <w:highlight w:val="green"/>
              </w:rPr>
              <w:t>Agreements:</w:t>
            </w:r>
          </w:p>
          <w:p w14:paraId="49284F28" w14:textId="77777777" w:rsidR="00F170EB" w:rsidRPr="00B35B87" w:rsidRDefault="00F170EB" w:rsidP="00F170EB">
            <w:pPr>
              <w:numPr>
                <w:ilvl w:val="0"/>
                <w:numId w:val="64"/>
              </w:numPr>
              <w:spacing w:before="0" w:after="0" w:line="240" w:lineRule="auto"/>
              <w:jc w:val="left"/>
            </w:pPr>
            <w:r w:rsidRPr="00B35B87">
              <w:t>For the maximum number of UL CG configurations per BWP of a serving cell:</w:t>
            </w:r>
          </w:p>
          <w:p w14:paraId="2A718F7E" w14:textId="77777777" w:rsidR="00F170EB" w:rsidRPr="00B35B87" w:rsidRDefault="00F170EB" w:rsidP="00F170EB">
            <w:pPr>
              <w:numPr>
                <w:ilvl w:val="1"/>
                <w:numId w:val="64"/>
              </w:numPr>
              <w:spacing w:before="0" w:after="0" w:line="240" w:lineRule="auto"/>
              <w:jc w:val="left"/>
            </w:pPr>
            <w:r w:rsidRPr="00B35B87">
              <w:t>12</w:t>
            </w:r>
          </w:p>
          <w:p w14:paraId="725E1FCE" w14:textId="77777777" w:rsidR="00F170EB" w:rsidRPr="00D15F08" w:rsidRDefault="00F170EB" w:rsidP="00F170EB">
            <w:pPr>
              <w:pStyle w:val="agreementHEAD"/>
              <w:spacing w:line="240" w:lineRule="auto"/>
            </w:pPr>
            <w:r w:rsidRPr="00D15F08">
              <w:rPr>
                <w:highlight w:val="green"/>
              </w:rPr>
              <w:t>Agreements</w:t>
            </w:r>
            <w:r w:rsidRPr="00D15F08">
              <w:t>:</w:t>
            </w:r>
          </w:p>
          <w:p w14:paraId="1FF71D05" w14:textId="77777777" w:rsidR="00F170EB" w:rsidRPr="00D15F08" w:rsidRDefault="00F170EB" w:rsidP="00F170EB">
            <w:pPr>
              <w:pStyle w:val="ad"/>
              <w:widowControl w:val="0"/>
              <w:numPr>
                <w:ilvl w:val="0"/>
                <w:numId w:val="65"/>
              </w:numPr>
              <w:wordWrap/>
              <w:autoSpaceDE/>
              <w:autoSpaceDN/>
              <w:spacing w:before="0" w:line="240" w:lineRule="auto"/>
              <w:ind w:leftChars="0"/>
              <w:rPr>
                <w:rFonts w:ascii="Times New Roman" w:eastAsia="Yu Mincho" w:hAnsi="Times New Roman"/>
                <w:lang w:eastAsia="ja-JP"/>
              </w:rPr>
            </w:pPr>
            <w:r w:rsidRPr="00D15F08">
              <w:rPr>
                <w:rFonts w:ascii="Times New Roman" w:eastAsia="Yu Mincho" w:hAnsi="Times New Roman"/>
                <w:lang w:eastAsia="ja-JP"/>
              </w:rPr>
              <w:t xml:space="preserve">Support joint release in a DCI for two or more configured grant Type 2 configurations for a given BWP of a serving cell if the bit-length for indication which configurations released is no more than 4 bits and </w:t>
            </w:r>
            <w:r w:rsidRPr="00D15F08">
              <w:rPr>
                <w:rFonts w:ascii="Times New Roman" w:hAnsi="Times New Roman" w:hint="eastAsia"/>
              </w:rPr>
              <w:t>D</w:t>
            </w:r>
            <w:r w:rsidRPr="00D15F08">
              <w:rPr>
                <w:rFonts w:ascii="Times New Roman" w:hAnsi="Times New Roman"/>
              </w:rPr>
              <w:t xml:space="preserve">CI size is not impacted by adopting joint release. </w:t>
            </w:r>
          </w:p>
          <w:p w14:paraId="47D873D6" w14:textId="5C8FD48A" w:rsidR="00295DA9" w:rsidRPr="00F170EB" w:rsidRDefault="00F170EB" w:rsidP="00F170EB">
            <w:pPr>
              <w:pStyle w:val="ad"/>
              <w:widowControl w:val="0"/>
              <w:numPr>
                <w:ilvl w:val="1"/>
                <w:numId w:val="65"/>
              </w:numPr>
              <w:wordWrap/>
              <w:autoSpaceDE/>
              <w:autoSpaceDN/>
              <w:spacing w:before="0" w:line="240" w:lineRule="auto"/>
              <w:ind w:leftChars="0"/>
              <w:rPr>
                <w:rFonts w:ascii="Times New Roman" w:eastAsia="Yu Mincho" w:hAnsi="Times New Roman"/>
                <w:lang w:eastAsia="ja-JP"/>
              </w:rPr>
            </w:pPr>
            <w:r w:rsidRPr="00D15F08">
              <w:rPr>
                <w:rFonts w:ascii="Times New Roman" w:hAnsi="Times New Roman" w:hint="eastAsia"/>
              </w:rPr>
              <w:t>F</w:t>
            </w:r>
            <w:r w:rsidRPr="00D15F08">
              <w:rPr>
                <w:rFonts w:ascii="Times New Roman" w:hAnsi="Times New Roman"/>
              </w:rPr>
              <w:t xml:space="preserve">FS details. </w:t>
            </w:r>
          </w:p>
        </w:tc>
      </w:tr>
    </w:tbl>
    <w:p w14:paraId="6BC057A9" w14:textId="44895E32" w:rsidR="007E14D4" w:rsidRDefault="00E82A12" w:rsidP="00B44B53">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B44B53">
        <w:t>how to facilitate “multiple active configured grant” and additional consideration point when adopted.</w:t>
      </w:r>
    </w:p>
    <w:p w14:paraId="38B9D2BC" w14:textId="77777777" w:rsidR="005521CF" w:rsidRDefault="005521CF" w:rsidP="00B44B53">
      <w:pPr>
        <w:pStyle w:val="Doc"/>
        <w:ind w:firstLineChars="0" w:firstLine="0"/>
      </w:pPr>
    </w:p>
    <w:p w14:paraId="24E36595" w14:textId="1A32452C" w:rsidR="004B18C8" w:rsidRDefault="003A0599" w:rsidP="004B18C8">
      <w:pPr>
        <w:pStyle w:val="10"/>
      </w:pPr>
      <w:r>
        <w:t xml:space="preserve">How to </w:t>
      </w:r>
      <w:r w:rsidR="00437F80">
        <w:t xml:space="preserve">determine HARQ process ID of </w:t>
      </w:r>
      <w:r w:rsidR="00531CB4">
        <w:t>configured grant</w:t>
      </w:r>
      <w:r>
        <w:t xml:space="preserve"> resource</w:t>
      </w:r>
    </w:p>
    <w:p w14:paraId="7A760C31" w14:textId="16D2015E" w:rsidR="00274DF9" w:rsidRDefault="00274DF9" w:rsidP="00274DF9">
      <w:pPr>
        <w:pStyle w:val="Doc"/>
      </w:pPr>
      <w:r>
        <w:t>When using multiple configuration</w:t>
      </w:r>
      <w:r w:rsidR="006B39B9">
        <w:t>s</w:t>
      </w:r>
      <w:r>
        <w:t>, HARQ process management should be considered</w:t>
      </w:r>
      <w:r w:rsidR="006856E5">
        <w:t xml:space="preserve"> in RAN1 perspective</w:t>
      </w:r>
      <w:r>
        <w:t xml:space="preserve">. If we allocate exclusive HARQ process pool to each </w:t>
      </w:r>
      <w:r w:rsidR="006856E5">
        <w:t>configured grant resource</w:t>
      </w:r>
      <w:r>
        <w:t xml:space="preserve">, so many HARQ process are required in order to get flexible starting position. </w:t>
      </w:r>
      <w:r w:rsidR="009D28E5">
        <w:t xml:space="preserve">Moreover, multiple configured grant can be used for multiple type of services. </w:t>
      </w:r>
      <w:r w:rsidR="009B39CD">
        <w:t xml:space="preserve">If one URLLC service requires fine starting point with long duration PUSCH repetition, it will restrict other services. Meanwhile, HARQ process pool is </w:t>
      </w:r>
      <w:r>
        <w:t>shared betw</w:t>
      </w:r>
      <w:r w:rsidR="009B39CD">
        <w:t xml:space="preserve">een grant-free and grant-based. So </w:t>
      </w:r>
      <w:r>
        <w:t>starting position is easy to be unavailable when exclusive HARQ process pool is used for each configuration.</w:t>
      </w:r>
      <w:r w:rsidR="009D28E5">
        <w:t xml:space="preserve"> </w:t>
      </w:r>
      <w:r>
        <w:t>To maximize availability of flexible starting, HARQ process pool of multiple configuration</w:t>
      </w:r>
      <w:r w:rsidR="006B39B9">
        <w:t>s</w:t>
      </w:r>
      <w:r>
        <w:t xml:space="preserve"> should be able to overlap each other.</w:t>
      </w:r>
    </w:p>
    <w:p w14:paraId="39FA1739" w14:textId="5B181A1C" w:rsidR="009B39CD" w:rsidRPr="00B56DD9" w:rsidRDefault="009B39CD" w:rsidP="00DB383F">
      <w:pPr>
        <w:pStyle w:val="Doc"/>
        <w:ind w:firstLineChars="0" w:firstLine="0"/>
        <w:jc w:val="center"/>
      </w:pPr>
      <w:r>
        <w:rPr>
          <w:rStyle w:val="1Char0"/>
          <w:noProof/>
        </w:rPr>
        <w:lastRenderedPageBreak/>
        <w:drawing>
          <wp:inline distT="0" distB="0" distL="0" distR="0" wp14:anchorId="5A6768B8" wp14:editId="73FD7F20">
            <wp:extent cx="6120130" cy="148463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484630"/>
                    </a:xfrm>
                    <a:prstGeom prst="rect">
                      <a:avLst/>
                    </a:prstGeom>
                    <a:noFill/>
                  </pic:spPr>
                </pic:pic>
              </a:graphicData>
            </a:graphic>
          </wp:inline>
        </w:drawing>
      </w:r>
      <w:r>
        <w:rPr>
          <w:rFonts w:eastAsiaTheme="minorEastAsia"/>
        </w:rPr>
        <w:br/>
      </w:r>
      <w:r>
        <w:rPr>
          <w:rFonts w:eastAsiaTheme="minorEastAsia" w:hint="eastAsia"/>
        </w:rPr>
        <w:t>Figure 1</w:t>
      </w:r>
      <w:r>
        <w:rPr>
          <w:rFonts w:eastAsiaTheme="minorEastAsia"/>
        </w:rPr>
        <w:t>. An example of multiple configured grant with HARQ process sharing</w:t>
      </w:r>
    </w:p>
    <w:p w14:paraId="120C92E5" w14:textId="1A18A29C" w:rsidR="006856E5" w:rsidRDefault="009B39CD" w:rsidP="00DB383F">
      <w:pPr>
        <w:pStyle w:val="Doc"/>
        <w:rPr>
          <w:rFonts w:eastAsiaTheme="minorEastAsia"/>
        </w:rPr>
      </w:pPr>
      <w:r>
        <w:rPr>
          <w:rFonts w:eastAsiaTheme="minorEastAsia" w:hint="eastAsia"/>
        </w:rPr>
        <w:t>Figure</w:t>
      </w:r>
      <w:r w:rsidR="007C7FE3">
        <w:rPr>
          <w:rFonts w:eastAsiaTheme="minorEastAsia"/>
        </w:rPr>
        <w:t xml:space="preserve"> 1 shows when multiple configurations are used for flexible starting points. </w:t>
      </w:r>
      <w:r w:rsidR="002164CB">
        <w:rPr>
          <w:rFonts w:eastAsiaTheme="minorEastAsia"/>
        </w:rPr>
        <w:t>Considering resources in dashed square, if the UE uses one of them for uplink, others cannot be used in any cases. So it seems redundant to allocate different HARQ process number for those resources. To save the number of HARQ process when using multiple configured grant</w:t>
      </w:r>
      <w:r w:rsidR="006856E5">
        <w:rPr>
          <w:rFonts w:eastAsiaTheme="minorEastAsia"/>
        </w:rPr>
        <w:t xml:space="preserve"> sharing same HARQ process pool</w:t>
      </w:r>
      <w:r w:rsidR="002164CB">
        <w:rPr>
          <w:rFonts w:eastAsiaTheme="minorEastAsia"/>
        </w:rPr>
        <w:t xml:space="preserve">, </w:t>
      </w:r>
      <w:r w:rsidR="006856E5" w:rsidRPr="006856E5">
        <w:rPr>
          <w:rFonts w:eastAsiaTheme="minorEastAsia"/>
        </w:rPr>
        <w:t xml:space="preserve">HARQ process </w:t>
      </w:r>
      <w:r w:rsidR="006856E5">
        <w:rPr>
          <w:rFonts w:eastAsiaTheme="minorEastAsia"/>
        </w:rPr>
        <w:t xml:space="preserve">ID need to be aligned between/among different configurations. In current specification of release 15, HARQ process ID of configured grant </w:t>
      </w:r>
      <w:r w:rsidR="008353D6">
        <w:rPr>
          <w:rFonts w:eastAsiaTheme="minorEastAsia"/>
        </w:rPr>
        <w:t xml:space="preserve">is determined by symbol index from SFN0. So, it is hard to control for having aligned HARQ process ID due to different periodicity and symbol duration. </w:t>
      </w:r>
    </w:p>
    <w:p w14:paraId="3E230800" w14:textId="44C72C5C" w:rsidR="008353D6" w:rsidRDefault="008353D6" w:rsidP="00DB383F">
      <w:pPr>
        <w:pStyle w:val="Doc"/>
        <w:rPr>
          <w:rFonts w:eastAsiaTheme="minorEastAsia"/>
        </w:rPr>
      </w:pPr>
      <w:r>
        <w:rPr>
          <w:rFonts w:eastAsiaTheme="minorEastAsia"/>
        </w:rPr>
        <w:t>To leave choice for the gNB for HARQ determination, it can be considered to adopt two RRC parameters. One is HARQ-ID offset, the other is symbol offset. HARQ-ID offset can be used to make different HARQ process ID pool for configuration. Symbol offset can be applied to adjust HARQ ID order in one configuration. For example, HARQ process ID can be determined by following equation which is modified from 38.321:</w:t>
      </w:r>
    </w:p>
    <w:p w14:paraId="39043C34" w14:textId="29F80850" w:rsidR="008353D6" w:rsidRPr="008353D6" w:rsidRDefault="008353D6" w:rsidP="008353D6">
      <w:pPr>
        <w:pStyle w:val="Doc"/>
        <w:rPr>
          <w:rFonts w:eastAsiaTheme="minorEastAsia"/>
        </w:rPr>
      </w:pPr>
      <w:r w:rsidRPr="008353D6">
        <w:rPr>
          <w:rFonts w:eastAsiaTheme="minorEastAsia"/>
        </w:rPr>
        <w:t xml:space="preserve">HARQ Process ID = [floor((CURRENT_symbol + </w:t>
      </w:r>
      <w:r w:rsidRPr="008353D6">
        <w:rPr>
          <w:rFonts w:eastAsiaTheme="minorEastAsia"/>
          <w:b/>
        </w:rPr>
        <w:t>symbol-offset</w:t>
      </w:r>
      <w:r w:rsidRPr="008353D6">
        <w:rPr>
          <w:rFonts w:eastAsiaTheme="minorEastAsia"/>
        </w:rPr>
        <w:t xml:space="preserve">)/periodicity)] modulo nrofHARQ-Processes + </w:t>
      </w:r>
      <w:r w:rsidRPr="008353D6">
        <w:rPr>
          <w:rFonts w:eastAsiaTheme="minorEastAsia"/>
          <w:b/>
        </w:rPr>
        <w:t>harq-ProcID-offset</w:t>
      </w:r>
      <w:r w:rsidRPr="006F70A9">
        <w:rPr>
          <w:rFonts w:eastAsiaTheme="minorEastAsia"/>
        </w:rPr>
        <w:t>,</w:t>
      </w:r>
      <w:r w:rsidR="006F70A9" w:rsidRPr="006F70A9">
        <w:rPr>
          <w:rFonts w:eastAsiaTheme="minorEastAsia"/>
        </w:rPr>
        <w:t xml:space="preserve"> w</w:t>
      </w:r>
      <w:r w:rsidRPr="006F70A9">
        <w:rPr>
          <w:rFonts w:eastAsiaTheme="minorEastAsia"/>
        </w:rPr>
        <w:t>here</w:t>
      </w:r>
      <w:r w:rsidRPr="008353D6">
        <w:rPr>
          <w:rFonts w:eastAsiaTheme="minorEastAsia"/>
        </w:rPr>
        <w:t xml:space="preserve"> CURRENT_symbol</w:t>
      </w:r>
      <w:r w:rsidR="006F70A9">
        <w:rPr>
          <w:rFonts w:eastAsiaTheme="minorEastAsia"/>
        </w:rPr>
        <w:t xml:space="preserve"> refers the number of symbols from SFN0</w:t>
      </w:r>
    </w:p>
    <w:p w14:paraId="67B08ECA" w14:textId="2110C86A" w:rsidR="009B39CD" w:rsidRPr="00B56DD9" w:rsidRDefault="006F70A9" w:rsidP="00DB383F">
      <w:pPr>
        <w:pStyle w:val="Doc"/>
      </w:pPr>
      <w:r>
        <w:rPr>
          <w:rFonts w:eastAsiaTheme="minorEastAsia"/>
        </w:rPr>
        <w:t>By two parameter</w:t>
      </w:r>
      <w:r>
        <w:rPr>
          <w:rFonts w:eastAsiaTheme="minorEastAsia" w:hint="eastAsia"/>
        </w:rPr>
        <w:t xml:space="preserve">, </w:t>
      </w:r>
      <w:r>
        <w:rPr>
          <w:rFonts w:eastAsiaTheme="minorEastAsia"/>
        </w:rPr>
        <w:t>gNB can control not only HARQ process pool for each configuration as well as HARQ process ID of transmission occasion. This may decrease complexities of gNB and UE and also be helpful to support multiple configuration</w:t>
      </w:r>
      <w:r w:rsidR="006B39B9">
        <w:rPr>
          <w:rFonts w:eastAsiaTheme="minorEastAsia"/>
        </w:rPr>
        <w:t>s</w:t>
      </w:r>
      <w:r>
        <w:rPr>
          <w:rFonts w:eastAsiaTheme="minorEastAsia"/>
        </w:rPr>
        <w:t xml:space="preserve"> with limited number of HARQ processes. So,</w:t>
      </w:r>
      <w:r w:rsidR="002164CB">
        <w:rPr>
          <w:rFonts w:eastAsiaTheme="minorEastAsia"/>
        </w:rPr>
        <w:t>we propose following:</w:t>
      </w:r>
    </w:p>
    <w:p w14:paraId="26F88043" w14:textId="1AFCC341" w:rsidR="00274DF9" w:rsidRDefault="00DB383F" w:rsidP="00274DF9">
      <w:pPr>
        <w:pStyle w:val="Proposal"/>
      </w:pPr>
      <w:r>
        <w:t xml:space="preserve">Proposal </w:t>
      </w:r>
      <w:r w:rsidR="00520727">
        <w:t>1</w:t>
      </w:r>
      <w:r w:rsidR="00274DF9">
        <w:t xml:space="preserve">: </w:t>
      </w:r>
      <w:r>
        <w:t>For</w:t>
      </w:r>
      <w:r w:rsidR="00274DF9">
        <w:t xml:space="preserve"> multiple configuration</w:t>
      </w:r>
      <w:r w:rsidR="006B39B9">
        <w:t>s</w:t>
      </w:r>
      <w:r w:rsidR="00274DF9">
        <w:t xml:space="preserve"> </w:t>
      </w:r>
      <w:r>
        <w:t>of configured grant,</w:t>
      </w:r>
    </w:p>
    <w:p w14:paraId="46E1522C" w14:textId="265D416A" w:rsidR="0086440D" w:rsidRDefault="00274DF9" w:rsidP="00DB383F">
      <w:pPr>
        <w:pStyle w:val="Proposal"/>
        <w:numPr>
          <w:ilvl w:val="0"/>
          <w:numId w:val="54"/>
        </w:numPr>
      </w:pPr>
      <w:r>
        <w:t>HARQ process pool of each configuration can be shared among multiple configurations.</w:t>
      </w:r>
    </w:p>
    <w:p w14:paraId="4A17A58A" w14:textId="7C65EC91" w:rsidR="006F70A9" w:rsidRDefault="006F70A9" w:rsidP="00DB383F">
      <w:pPr>
        <w:pStyle w:val="Proposal"/>
        <w:numPr>
          <w:ilvl w:val="0"/>
          <w:numId w:val="54"/>
        </w:numPr>
      </w:pPr>
      <w:r>
        <w:t>F</w:t>
      </w:r>
      <w:r>
        <w:rPr>
          <w:rFonts w:hint="eastAsia"/>
        </w:rPr>
        <w:t xml:space="preserve">ollowing </w:t>
      </w:r>
      <w:r>
        <w:t>two parameter need to be adopted:</w:t>
      </w:r>
    </w:p>
    <w:p w14:paraId="4F8A016F" w14:textId="66544F2D" w:rsidR="006F70A9" w:rsidRPr="006F70A9" w:rsidRDefault="006F70A9" w:rsidP="006F70A9">
      <w:pPr>
        <w:pStyle w:val="Proposal"/>
        <w:numPr>
          <w:ilvl w:val="1"/>
          <w:numId w:val="54"/>
        </w:numPr>
      </w:pPr>
      <w:r w:rsidRPr="008353D6">
        <w:rPr>
          <w:b w:val="0"/>
        </w:rPr>
        <w:t>harq-ProcID-offset</w:t>
      </w:r>
      <w:r>
        <w:rPr>
          <w:b w:val="0"/>
        </w:rPr>
        <w:t>: HARQ process ID offset between/among different configuration</w:t>
      </w:r>
    </w:p>
    <w:p w14:paraId="21A94DE2" w14:textId="251A8167" w:rsidR="006F70A9" w:rsidRPr="002518B5" w:rsidRDefault="006F70A9" w:rsidP="006F70A9">
      <w:pPr>
        <w:pStyle w:val="Proposal"/>
        <w:numPr>
          <w:ilvl w:val="1"/>
          <w:numId w:val="54"/>
        </w:numPr>
      </w:pPr>
      <w:r w:rsidRPr="008353D6">
        <w:rPr>
          <w:b w:val="0"/>
        </w:rPr>
        <w:t>symbol-offset</w:t>
      </w:r>
      <w:r>
        <w:rPr>
          <w:b w:val="0"/>
        </w:rPr>
        <w:t>: adjustment HARQ process ID determination for one configuration</w:t>
      </w:r>
    </w:p>
    <w:p w14:paraId="00929CE9" w14:textId="4A570DB8" w:rsidR="002518B5" w:rsidRDefault="002518B5" w:rsidP="002518B5">
      <w:pPr>
        <w:pStyle w:val="Proposal"/>
        <w:numPr>
          <w:ilvl w:val="0"/>
          <w:numId w:val="54"/>
        </w:numPr>
      </w:pPr>
      <w:r>
        <w:rPr>
          <w:rFonts w:hint="eastAsia"/>
        </w:rPr>
        <w:t>To determine HARQ process ID of configured grant, following equation can be considered:</w:t>
      </w:r>
    </w:p>
    <w:p w14:paraId="625D798A" w14:textId="77777777" w:rsidR="00A761B1" w:rsidRDefault="002518B5" w:rsidP="002518B5">
      <w:pPr>
        <w:pStyle w:val="Proposal"/>
        <w:numPr>
          <w:ilvl w:val="1"/>
          <w:numId w:val="54"/>
        </w:numPr>
        <w:rPr>
          <w:b w:val="0"/>
        </w:rPr>
      </w:pPr>
      <w:r w:rsidRPr="002518B5">
        <w:rPr>
          <w:b w:val="0"/>
        </w:rPr>
        <w:t xml:space="preserve">HARQ Process ID = [floor((CURRENT_symbol + </w:t>
      </w:r>
      <w:r w:rsidRPr="002518B5">
        <w:t>symbol-offset</w:t>
      </w:r>
      <w:r w:rsidRPr="002518B5">
        <w:rPr>
          <w:b w:val="0"/>
        </w:rPr>
        <w:t xml:space="preserve">)/periodicity)] modulo nrofHARQ-Processes + </w:t>
      </w:r>
      <w:r w:rsidRPr="002518B5">
        <w:t>harq-ProcID-offset</w:t>
      </w:r>
      <w:r w:rsidRPr="002518B5">
        <w:rPr>
          <w:b w:val="0"/>
        </w:rPr>
        <w:t>, where CURRENT_symbol refers the number of symbols from SFN0</w:t>
      </w:r>
    </w:p>
    <w:p w14:paraId="2E172E46" w14:textId="70253DE6" w:rsidR="002518B5" w:rsidRPr="002518B5" w:rsidRDefault="00A761B1" w:rsidP="002518B5">
      <w:pPr>
        <w:pStyle w:val="Proposal"/>
        <w:numPr>
          <w:ilvl w:val="1"/>
          <w:numId w:val="54"/>
        </w:numPr>
        <w:rPr>
          <w:b w:val="0"/>
        </w:rPr>
      </w:pPr>
      <w:r>
        <w:rPr>
          <w:b w:val="0"/>
        </w:rPr>
        <w:lastRenderedPageBreak/>
        <w:t>Note: only parameters shown in bold type are newly added in above equation.</w:t>
      </w:r>
    </w:p>
    <w:p w14:paraId="49C6FDB5" w14:textId="1DB27D2F" w:rsidR="00B31030" w:rsidRDefault="00B31030" w:rsidP="00B31030">
      <w:pPr>
        <w:pStyle w:val="Proposal"/>
      </w:pPr>
    </w:p>
    <w:p w14:paraId="08874719" w14:textId="0ED8F892" w:rsidR="00437F80" w:rsidRDefault="00E25E6A" w:rsidP="00437F80">
      <w:pPr>
        <w:pStyle w:val="10"/>
      </w:pPr>
      <w:r>
        <w:t xml:space="preserve">Consideration on </w:t>
      </w:r>
      <w:r w:rsidR="00437F80">
        <w:t>joint activation/release</w:t>
      </w:r>
      <w:r>
        <w:t xml:space="preserve"> of configured grant</w:t>
      </w:r>
    </w:p>
    <w:p w14:paraId="1E1C67BC" w14:textId="375AF9D1" w:rsidR="00F170EB" w:rsidRDefault="00B31030" w:rsidP="008A3472">
      <w:pPr>
        <w:pStyle w:val="Doc"/>
        <w:rPr>
          <w:rFonts w:eastAsiaTheme="minorEastAsia"/>
        </w:rPr>
      </w:pPr>
      <w:r>
        <w:rPr>
          <w:rFonts w:eastAsiaTheme="minorEastAsia"/>
          <w:lang w:val="en-GB"/>
        </w:rPr>
        <w:t>In case of</w:t>
      </w:r>
      <w:r>
        <w:rPr>
          <w:rFonts w:eastAsiaTheme="minorEastAsia" w:hint="eastAsia"/>
        </w:rPr>
        <w:t xml:space="preserve"> type 2 configured grant, </w:t>
      </w:r>
      <w:r w:rsidR="008A3472">
        <w:rPr>
          <w:rFonts w:eastAsiaTheme="minorEastAsia"/>
        </w:rPr>
        <w:t xml:space="preserve">separate activation/release </w:t>
      </w:r>
      <w:r>
        <w:rPr>
          <w:rFonts w:eastAsiaTheme="minorEastAsia"/>
        </w:rPr>
        <w:t>require</w:t>
      </w:r>
      <w:r w:rsidR="008A3472">
        <w:rPr>
          <w:rFonts w:eastAsiaTheme="minorEastAsia"/>
        </w:rPr>
        <w:t>s</w:t>
      </w:r>
      <w:r>
        <w:rPr>
          <w:rFonts w:eastAsiaTheme="minorEastAsia"/>
        </w:rPr>
        <w:t xml:space="preserve"> multiple activation/release DCI. If those configuration</w:t>
      </w:r>
      <w:r w:rsidR="008A3472">
        <w:rPr>
          <w:rFonts w:eastAsiaTheme="minorEastAsia"/>
        </w:rPr>
        <w:t>s</w:t>
      </w:r>
      <w:r>
        <w:rPr>
          <w:rFonts w:eastAsiaTheme="minorEastAsia"/>
        </w:rPr>
        <w:t xml:space="preserve"> all are used for single service, i.e., for enhancing latency and reliability, resource allocation information in activation DCIs may not have much differences. Considering limited PDCCH resource, it is beneficial to support </w:t>
      </w:r>
      <w:r w:rsidR="008A3472">
        <w:rPr>
          <w:rFonts w:eastAsiaTheme="minorEastAsia"/>
        </w:rPr>
        <w:t>joint activation/release for multiple configurations</w:t>
      </w:r>
      <w:r w:rsidR="009D6024">
        <w:rPr>
          <w:rFonts w:eastAsiaTheme="minorEastAsia"/>
        </w:rPr>
        <w:t xml:space="preserve">. </w:t>
      </w:r>
    </w:p>
    <w:p w14:paraId="31787312" w14:textId="77777777" w:rsidR="000D0F98" w:rsidRDefault="000D0F98" w:rsidP="000D0F98">
      <w:pPr>
        <w:pStyle w:val="Doc"/>
        <w:rPr>
          <w:rFonts w:eastAsiaTheme="minorEastAsia"/>
        </w:rPr>
      </w:pPr>
      <w:r>
        <w:rPr>
          <w:rFonts w:eastAsiaTheme="minorEastAsia" w:hint="eastAsia"/>
        </w:rPr>
        <w:t>Assuming that X (e.g.,</w:t>
      </w:r>
      <w:r>
        <w:rPr>
          <w:rFonts w:eastAsiaTheme="minorEastAsia"/>
        </w:rPr>
        <w:t xml:space="preserve"> X&lt;=4) bits are used to distinguish each configuration (and also to indicate a set of multiple configurations) in joint release and activation (if introduced) DCI, 2</w:t>
      </w:r>
      <w:r w:rsidRPr="00E7286A">
        <w:rPr>
          <w:rFonts w:eastAsiaTheme="minorEastAsia"/>
          <w:vertAlign w:val="superscript"/>
        </w:rPr>
        <w:t>X</w:t>
      </w:r>
      <w:r>
        <w:rPr>
          <w:rFonts w:eastAsiaTheme="minorEastAsia"/>
        </w:rPr>
        <w:t xml:space="preserve"> states can be represented. Each state can indicate which configuration(s) are to be released/activated. gNB may make some states associated with multiple configurations, and once one of the states is indicated, the associated configurations are released/activated. </w:t>
      </w:r>
    </w:p>
    <w:p w14:paraId="5C7D04D6" w14:textId="193728B4" w:rsidR="00B72FBE" w:rsidRDefault="009C645A" w:rsidP="00D43A4B">
      <w:pPr>
        <w:pStyle w:val="Proposal"/>
      </w:pPr>
      <w:r>
        <w:t xml:space="preserve">Proposal </w:t>
      </w:r>
      <w:r w:rsidR="00520727">
        <w:t>2</w:t>
      </w:r>
      <w:r w:rsidR="009D6024">
        <w:t xml:space="preserve">: For </w:t>
      </w:r>
      <w:r w:rsidR="00B72FBE">
        <w:t>the joint release DCI, following option can be considered to indicate one or multiple configuration(s) to be released:</w:t>
      </w:r>
    </w:p>
    <w:p w14:paraId="3A877091" w14:textId="514C5D4D" w:rsidR="00B72FBE" w:rsidRDefault="00B72FBE">
      <w:pPr>
        <w:pStyle w:val="Proposal"/>
        <w:numPr>
          <w:ilvl w:val="0"/>
          <w:numId w:val="54"/>
        </w:numPr>
      </w:pPr>
      <w:r>
        <w:t xml:space="preserve">Each State indicates </w:t>
      </w:r>
      <w:r w:rsidRPr="00B72FBE">
        <w:t xml:space="preserve">one or multiple </w:t>
      </w:r>
      <w:r>
        <w:t>configuration(s) to be released, and a list of these states can be configured by RRC.</w:t>
      </w:r>
      <w:r w:rsidR="00C267F3">
        <w:t xml:space="preserve"> </w:t>
      </w:r>
      <w:r>
        <w:t>A field in the joint release DCI indicates an index of the list.</w:t>
      </w:r>
    </w:p>
    <w:p w14:paraId="5B377A30" w14:textId="77777777" w:rsidR="00C267F3" w:rsidRPr="00C267F3" w:rsidRDefault="00C267F3" w:rsidP="009701A6">
      <w:pPr>
        <w:pStyle w:val="Proposal"/>
      </w:pPr>
    </w:p>
    <w:p w14:paraId="24A23464" w14:textId="221FE5BC" w:rsidR="00CE28B9" w:rsidRDefault="000864AE" w:rsidP="000D0F98">
      <w:pPr>
        <w:pStyle w:val="Doc"/>
        <w:rPr>
          <w:rFonts w:eastAsiaTheme="minorEastAsia"/>
        </w:rPr>
      </w:pPr>
      <w:r>
        <w:rPr>
          <w:rFonts w:eastAsiaTheme="minorEastAsia" w:hint="eastAsia"/>
        </w:rPr>
        <w:t xml:space="preserve">For </w:t>
      </w:r>
      <w:r w:rsidR="000D0F98">
        <w:rPr>
          <w:rFonts w:eastAsiaTheme="minorEastAsia"/>
        </w:rPr>
        <w:t xml:space="preserve">joint </w:t>
      </w:r>
      <w:r>
        <w:rPr>
          <w:rFonts w:eastAsiaTheme="minorEastAsia" w:hint="eastAsia"/>
        </w:rPr>
        <w:t>activation</w:t>
      </w:r>
      <w:r>
        <w:rPr>
          <w:rFonts w:eastAsiaTheme="minorEastAsia"/>
        </w:rPr>
        <w:t>s with single DCI</w:t>
      </w:r>
      <w:r>
        <w:rPr>
          <w:rFonts w:eastAsiaTheme="minorEastAsia" w:hint="eastAsia"/>
        </w:rPr>
        <w:t xml:space="preserve">, it is necessary to indicate multiple PUSCH </w:t>
      </w:r>
      <w:r>
        <w:rPr>
          <w:rFonts w:eastAsiaTheme="minorEastAsia"/>
        </w:rPr>
        <w:t>resource</w:t>
      </w:r>
      <w:r>
        <w:rPr>
          <w:rFonts w:eastAsiaTheme="minorEastAsia" w:hint="eastAsia"/>
        </w:rPr>
        <w:t xml:space="preserve"> </w:t>
      </w:r>
      <w:r>
        <w:rPr>
          <w:rFonts w:eastAsiaTheme="minorEastAsia"/>
        </w:rPr>
        <w:t>allocation for multiple configuration</w:t>
      </w:r>
      <w:r w:rsidR="006B39B9">
        <w:rPr>
          <w:rFonts w:eastAsiaTheme="minorEastAsia"/>
        </w:rPr>
        <w:t>s</w:t>
      </w:r>
      <w:r>
        <w:rPr>
          <w:rFonts w:eastAsiaTheme="minorEastAsia"/>
        </w:rPr>
        <w:t xml:space="preserve">. </w:t>
      </w:r>
      <w:r w:rsidR="000D0F98">
        <w:rPr>
          <w:rFonts w:eastAsiaTheme="minorEastAsia"/>
        </w:rPr>
        <w:t>However</w:t>
      </w:r>
      <w:r w:rsidR="00CE28B9">
        <w:rPr>
          <w:rFonts w:eastAsiaTheme="minorEastAsia"/>
        </w:rPr>
        <w:t xml:space="preserve">, it is better to discuss </w:t>
      </w:r>
      <w:r w:rsidR="000D0F98">
        <w:rPr>
          <w:rFonts w:eastAsiaTheme="minorEastAsia"/>
        </w:rPr>
        <w:t xml:space="preserve">a bit later how to indicate multiple resource allocations for multiple configurations in order to facilitate joint activation </w:t>
      </w:r>
      <w:r w:rsidR="00CE28B9">
        <w:rPr>
          <w:rFonts w:eastAsiaTheme="minorEastAsia"/>
        </w:rPr>
        <w:t>after</w:t>
      </w:r>
      <w:r w:rsidR="00A761B1">
        <w:rPr>
          <w:rFonts w:eastAsiaTheme="minorEastAsia"/>
        </w:rPr>
        <w:t xml:space="preserve"> we make a decision on how to allocate PUSCH resource for URLLC in </w:t>
      </w:r>
      <w:r w:rsidR="00CE28B9">
        <w:rPr>
          <w:rFonts w:eastAsiaTheme="minorEastAsia"/>
        </w:rPr>
        <w:t>PUSCH enhancement agenda.</w:t>
      </w:r>
    </w:p>
    <w:p w14:paraId="631E9EA4" w14:textId="6995C646" w:rsidR="00B31030" w:rsidRDefault="000864AE" w:rsidP="00C267F3">
      <w:pPr>
        <w:pStyle w:val="Proposal"/>
      </w:pPr>
      <w:r>
        <w:t xml:space="preserve">Proposal </w:t>
      </w:r>
      <w:r w:rsidR="00520727">
        <w:t>3</w:t>
      </w:r>
      <w:r>
        <w:t>: For multiple configuration</w:t>
      </w:r>
      <w:r w:rsidR="006B39B9">
        <w:t>s</w:t>
      </w:r>
      <w:r>
        <w:t xml:space="preserve"> of configured grant, </w:t>
      </w:r>
      <w:r w:rsidR="00C267F3">
        <w:t xml:space="preserve">the joint activation (if supported) DCI design related to resource allocation should be discussed </w:t>
      </w:r>
      <w:r w:rsidR="00CE28B9">
        <w:t>after the decision on how to allocate PUSCH for URLLC</w:t>
      </w:r>
    </w:p>
    <w:p w14:paraId="4800BF60" w14:textId="1C75A321" w:rsidR="00F170EB" w:rsidRDefault="00F170EB" w:rsidP="004B18C8">
      <w:pPr>
        <w:pStyle w:val="Doc"/>
        <w:ind w:firstLineChars="0" w:firstLine="0"/>
        <w:rPr>
          <w:rFonts w:eastAsiaTheme="minorEastAsia"/>
          <w:lang w:val="en-GB"/>
        </w:rPr>
      </w:pP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4E1D297F" w14:textId="77777777" w:rsidR="009701A6" w:rsidRDefault="009701A6" w:rsidP="00605E4E">
      <w:pPr>
        <w:pStyle w:val="Proposal"/>
      </w:pPr>
      <w:r>
        <w:t>Proposal 1: For multiple configurations of configured grant,</w:t>
      </w:r>
    </w:p>
    <w:p w14:paraId="4FCDCCE5" w14:textId="77777777" w:rsidR="009701A6" w:rsidRDefault="009701A6" w:rsidP="00605E4E">
      <w:pPr>
        <w:pStyle w:val="Proposal"/>
        <w:numPr>
          <w:ilvl w:val="0"/>
          <w:numId w:val="54"/>
        </w:numPr>
      </w:pPr>
      <w:r>
        <w:t>HARQ process pool of each configuration can be shared among multiple configurations.</w:t>
      </w:r>
    </w:p>
    <w:p w14:paraId="253A4C47" w14:textId="77777777" w:rsidR="009701A6" w:rsidRDefault="009701A6" w:rsidP="00605E4E">
      <w:pPr>
        <w:pStyle w:val="Proposal"/>
        <w:numPr>
          <w:ilvl w:val="0"/>
          <w:numId w:val="54"/>
        </w:numPr>
      </w:pPr>
      <w:r>
        <w:t>F</w:t>
      </w:r>
      <w:r>
        <w:rPr>
          <w:rFonts w:hint="eastAsia"/>
        </w:rPr>
        <w:t xml:space="preserve">ollowing </w:t>
      </w:r>
      <w:r>
        <w:t>two parameter need to be adopted:</w:t>
      </w:r>
    </w:p>
    <w:p w14:paraId="488D0686" w14:textId="77777777" w:rsidR="009701A6" w:rsidRPr="006F70A9" w:rsidRDefault="009701A6" w:rsidP="00605E4E">
      <w:pPr>
        <w:pStyle w:val="Proposal"/>
        <w:numPr>
          <w:ilvl w:val="1"/>
          <w:numId w:val="54"/>
        </w:numPr>
      </w:pPr>
      <w:r w:rsidRPr="008353D6">
        <w:rPr>
          <w:b w:val="0"/>
        </w:rPr>
        <w:t>harq-ProcID-offset</w:t>
      </w:r>
      <w:r>
        <w:rPr>
          <w:b w:val="0"/>
        </w:rPr>
        <w:t>: HARQ process ID offset between/among different configuration</w:t>
      </w:r>
    </w:p>
    <w:p w14:paraId="65402E80" w14:textId="77777777" w:rsidR="009701A6" w:rsidRPr="002518B5" w:rsidRDefault="009701A6" w:rsidP="00605E4E">
      <w:pPr>
        <w:pStyle w:val="Proposal"/>
        <w:numPr>
          <w:ilvl w:val="1"/>
          <w:numId w:val="54"/>
        </w:numPr>
      </w:pPr>
      <w:r w:rsidRPr="008353D6">
        <w:rPr>
          <w:b w:val="0"/>
        </w:rPr>
        <w:lastRenderedPageBreak/>
        <w:t>symbol-offset</w:t>
      </w:r>
      <w:r>
        <w:rPr>
          <w:b w:val="0"/>
        </w:rPr>
        <w:t>: adjustment HARQ process ID determination for one configuration</w:t>
      </w:r>
    </w:p>
    <w:p w14:paraId="6A44CCF3" w14:textId="77777777" w:rsidR="009701A6" w:rsidRDefault="009701A6" w:rsidP="00605E4E">
      <w:pPr>
        <w:pStyle w:val="Proposal"/>
        <w:numPr>
          <w:ilvl w:val="0"/>
          <w:numId w:val="54"/>
        </w:numPr>
      </w:pPr>
      <w:r>
        <w:rPr>
          <w:rFonts w:hint="eastAsia"/>
        </w:rPr>
        <w:t>To determine HARQ process ID of configured grant, following equation can be considered:</w:t>
      </w:r>
    </w:p>
    <w:p w14:paraId="6C77680E" w14:textId="77777777" w:rsidR="009701A6" w:rsidRDefault="009701A6" w:rsidP="00605E4E">
      <w:pPr>
        <w:pStyle w:val="Proposal"/>
        <w:numPr>
          <w:ilvl w:val="1"/>
          <w:numId w:val="54"/>
        </w:numPr>
        <w:rPr>
          <w:b w:val="0"/>
        </w:rPr>
      </w:pPr>
      <w:r w:rsidRPr="002518B5">
        <w:rPr>
          <w:b w:val="0"/>
        </w:rPr>
        <w:t xml:space="preserve">HARQ Process ID = [floor((CURRENT_symbol + </w:t>
      </w:r>
      <w:r w:rsidRPr="002518B5">
        <w:t>symbol-offset</w:t>
      </w:r>
      <w:r w:rsidRPr="002518B5">
        <w:rPr>
          <w:b w:val="0"/>
        </w:rPr>
        <w:t xml:space="preserve">)/periodicity)] modulo nrofHARQ-Processes + </w:t>
      </w:r>
      <w:r w:rsidRPr="002518B5">
        <w:t>harq-ProcID-offset</w:t>
      </w:r>
      <w:r w:rsidRPr="002518B5">
        <w:rPr>
          <w:b w:val="0"/>
        </w:rPr>
        <w:t>, where CURRENT_symbol refers the number of symbols from SFN0</w:t>
      </w:r>
    </w:p>
    <w:p w14:paraId="3BDFE2DD" w14:textId="77777777" w:rsidR="009701A6" w:rsidRPr="002518B5" w:rsidRDefault="009701A6" w:rsidP="00605E4E">
      <w:pPr>
        <w:pStyle w:val="Proposal"/>
        <w:numPr>
          <w:ilvl w:val="1"/>
          <w:numId w:val="54"/>
        </w:numPr>
        <w:rPr>
          <w:b w:val="0"/>
        </w:rPr>
      </w:pPr>
      <w:r>
        <w:rPr>
          <w:b w:val="0"/>
        </w:rPr>
        <w:t>Note: only parameters shown in bold type are newly added in above equation.</w:t>
      </w:r>
    </w:p>
    <w:p w14:paraId="35ECC1AE" w14:textId="77777777" w:rsidR="009701A6" w:rsidRDefault="009701A6" w:rsidP="00605E4E">
      <w:pPr>
        <w:pStyle w:val="Proposal"/>
      </w:pPr>
      <w:r>
        <w:t>Proposal 2: For the joint release DCI, following option can be considered to indicate one or multiple configuration(s) to be released:</w:t>
      </w:r>
    </w:p>
    <w:p w14:paraId="56CF064D" w14:textId="77777777" w:rsidR="009701A6" w:rsidRDefault="009701A6" w:rsidP="00605E4E">
      <w:pPr>
        <w:pStyle w:val="Proposal"/>
        <w:numPr>
          <w:ilvl w:val="0"/>
          <w:numId w:val="54"/>
        </w:numPr>
      </w:pPr>
      <w:r>
        <w:t xml:space="preserve">Each State indicates </w:t>
      </w:r>
      <w:r w:rsidRPr="00B72FBE">
        <w:t xml:space="preserve">one or multiple </w:t>
      </w:r>
      <w:r>
        <w:t>configuration(s) to be released, and a list of these states can be configured by RRC. A field in the joint release DCI indicates an index of the list.</w:t>
      </w:r>
    </w:p>
    <w:p w14:paraId="0FC15B8D" w14:textId="77777777" w:rsidR="009701A6" w:rsidRDefault="009701A6" w:rsidP="00605E4E">
      <w:pPr>
        <w:pStyle w:val="Proposal"/>
      </w:pPr>
      <w:bookmarkStart w:id="3" w:name="_GoBack"/>
      <w:bookmarkEnd w:id="3"/>
      <w:r>
        <w:t>Proposal 3: For multiple configurations of configured grant, the joint activation (if supported) DCI design related to resource allocation should be discussed after the decision on how to allocate PUSCH for URLLC</w:t>
      </w:r>
    </w:p>
    <w:p w14:paraId="5649E18C" w14:textId="77777777" w:rsidR="00B02BCE" w:rsidRPr="009701A6"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3F63DA1A" w14:textId="269588C7" w:rsidR="009D49E5" w:rsidRDefault="009D49E5" w:rsidP="00AB1A7F">
      <w:pPr>
        <w:pStyle w:val="Reference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w:t>
      </w:r>
      <w:r w:rsidR="00F170EB">
        <w:rPr>
          <w:rFonts w:eastAsia="맑은 고딕"/>
          <w:szCs w:val="22"/>
          <w:lang w:eastAsia="ko-KR"/>
        </w:rPr>
        <w:t>#97</w:t>
      </w:r>
    </w:p>
    <w:p w14:paraId="2FA7A0CA" w14:textId="77777777" w:rsidR="00AB1A7F" w:rsidRPr="000C7A30" w:rsidRDefault="00AB1A7F" w:rsidP="00953189">
      <w:pPr>
        <w:pStyle w:val="References"/>
        <w:numPr>
          <w:ilvl w:val="0"/>
          <w:numId w:val="0"/>
        </w:numPr>
        <w:ind w:left="6031" w:hanging="360"/>
        <w:rPr>
          <w:rFonts w:eastAsia="맑은 고딕"/>
          <w:szCs w:val="22"/>
          <w:lang w:eastAsia="ko-KR"/>
        </w:rPr>
      </w:pPr>
    </w:p>
    <w:sectPr w:rsidR="00AB1A7F" w:rsidRPr="000C7A3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FD020" w14:textId="77777777" w:rsidR="00BB41D7" w:rsidRDefault="00BB41D7" w:rsidP="00CB15B0">
      <w:pPr>
        <w:spacing w:before="0" w:after="0" w:line="240" w:lineRule="auto"/>
      </w:pPr>
      <w:r>
        <w:separator/>
      </w:r>
    </w:p>
  </w:endnote>
  <w:endnote w:type="continuationSeparator" w:id="0">
    <w:p w14:paraId="69CB05F6" w14:textId="77777777" w:rsidR="00BB41D7" w:rsidRDefault="00BB41D7" w:rsidP="00CB15B0">
      <w:pPr>
        <w:spacing w:before="0" w:after="0" w:line="240" w:lineRule="auto"/>
      </w:pPr>
      <w:r>
        <w:continuationSeparator/>
      </w:r>
    </w:p>
  </w:endnote>
  <w:endnote w:type="continuationNotice" w:id="1">
    <w:p w14:paraId="0D90F1F8" w14:textId="77777777" w:rsidR="00BB41D7" w:rsidRDefault="00BB41D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09D94" w14:textId="77777777" w:rsidR="00BB41D7" w:rsidRDefault="00BB41D7" w:rsidP="00CB15B0">
      <w:pPr>
        <w:spacing w:before="0" w:after="0" w:line="240" w:lineRule="auto"/>
      </w:pPr>
      <w:r>
        <w:separator/>
      </w:r>
    </w:p>
  </w:footnote>
  <w:footnote w:type="continuationSeparator" w:id="0">
    <w:p w14:paraId="13474CD0" w14:textId="77777777" w:rsidR="00BB41D7" w:rsidRDefault="00BB41D7" w:rsidP="00CB15B0">
      <w:pPr>
        <w:spacing w:before="0" w:after="0" w:line="240" w:lineRule="auto"/>
      </w:pPr>
      <w:r>
        <w:continuationSeparator/>
      </w:r>
    </w:p>
  </w:footnote>
  <w:footnote w:type="continuationNotice" w:id="1">
    <w:p w14:paraId="77E9D7E5" w14:textId="77777777" w:rsidR="00BB41D7" w:rsidRDefault="00BB41D7">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8"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7"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6"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2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5"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7"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38"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9"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7"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50"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51"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5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59"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2"/>
  </w:num>
  <w:num w:numId="2">
    <w:abstractNumId w:val="0"/>
  </w:num>
  <w:num w:numId="3">
    <w:abstractNumId w:val="28"/>
  </w:num>
  <w:num w:numId="4">
    <w:abstractNumId w:val="21"/>
  </w:num>
  <w:num w:numId="5">
    <w:abstractNumId w:val="49"/>
  </w:num>
  <w:num w:numId="6">
    <w:abstractNumId w:val="13"/>
  </w:num>
  <w:num w:numId="7">
    <w:abstractNumId w:val="5"/>
  </w:num>
  <w:num w:numId="8">
    <w:abstractNumId w:val="15"/>
  </w:num>
  <w:num w:numId="9">
    <w:abstractNumId w:val="53"/>
  </w:num>
  <w:num w:numId="10">
    <w:abstractNumId w:val="60"/>
  </w:num>
  <w:num w:numId="11">
    <w:abstractNumId w:val="36"/>
  </w:num>
  <w:num w:numId="12">
    <w:abstractNumId w:val="24"/>
  </w:num>
  <w:num w:numId="13">
    <w:abstractNumId w:val="61"/>
  </w:num>
  <w:num w:numId="14">
    <w:abstractNumId w:val="40"/>
  </w:num>
  <w:num w:numId="15">
    <w:abstractNumId w:val="32"/>
  </w:num>
  <w:num w:numId="16">
    <w:abstractNumId w:val="26"/>
  </w:num>
  <w:num w:numId="17">
    <w:abstractNumId w:val="55"/>
  </w:num>
  <w:num w:numId="18">
    <w:abstractNumId w:val="9"/>
  </w:num>
  <w:num w:numId="19">
    <w:abstractNumId w:val="42"/>
  </w:num>
  <w:num w:numId="20">
    <w:abstractNumId w:val="4"/>
  </w:num>
  <w:num w:numId="21">
    <w:abstractNumId w:val="25"/>
  </w:num>
  <w:num w:numId="22">
    <w:abstractNumId w:val="43"/>
  </w:num>
  <w:num w:numId="23">
    <w:abstractNumId w:val="30"/>
  </w:num>
  <w:num w:numId="24">
    <w:abstractNumId w:val="2"/>
  </w:num>
  <w:num w:numId="25">
    <w:abstractNumId w:val="59"/>
  </w:num>
  <w:num w:numId="26">
    <w:abstractNumId w:val="34"/>
  </w:num>
  <w:num w:numId="27">
    <w:abstractNumId w:val="16"/>
  </w:num>
  <w:num w:numId="28">
    <w:abstractNumId w:val="56"/>
  </w:num>
  <w:num w:numId="29">
    <w:abstractNumId w:val="7"/>
  </w:num>
  <w:num w:numId="30">
    <w:abstractNumId w:val="46"/>
  </w:num>
  <w:num w:numId="31">
    <w:abstractNumId w:val="51"/>
  </w:num>
  <w:num w:numId="32">
    <w:abstractNumId w:val="12"/>
  </w:num>
  <w:num w:numId="33">
    <w:abstractNumId w:val="47"/>
  </w:num>
  <w:num w:numId="34">
    <w:abstractNumId w:val="50"/>
  </w:num>
  <w:num w:numId="35">
    <w:abstractNumId w:val="17"/>
  </w:num>
  <w:num w:numId="36">
    <w:abstractNumId w:val="6"/>
  </w:num>
  <w:num w:numId="37">
    <w:abstractNumId w:val="18"/>
  </w:num>
  <w:num w:numId="38">
    <w:abstractNumId w:val="47"/>
  </w:num>
  <w:num w:numId="39">
    <w:abstractNumId w:val="29"/>
  </w:num>
  <w:num w:numId="40">
    <w:abstractNumId w:val="58"/>
  </w:num>
  <w:num w:numId="41">
    <w:abstractNumId w:val="1"/>
  </w:num>
  <w:num w:numId="42">
    <w:abstractNumId w:val="37"/>
  </w:num>
  <w:num w:numId="43">
    <w:abstractNumId w:val="19"/>
  </w:num>
  <w:num w:numId="44">
    <w:abstractNumId w:val="12"/>
  </w:num>
  <w:num w:numId="45">
    <w:abstractNumId w:val="31"/>
  </w:num>
  <w:num w:numId="46">
    <w:abstractNumId w:val="54"/>
  </w:num>
  <w:num w:numId="47">
    <w:abstractNumId w:val="48"/>
  </w:num>
  <w:num w:numId="48">
    <w:abstractNumId w:val="39"/>
  </w:num>
  <w:num w:numId="49">
    <w:abstractNumId w:val="41"/>
  </w:num>
  <w:num w:numId="50">
    <w:abstractNumId w:val="33"/>
  </w:num>
  <w:num w:numId="51">
    <w:abstractNumId w:val="11"/>
  </w:num>
  <w:num w:numId="52">
    <w:abstractNumId w:val="8"/>
  </w:num>
  <w:num w:numId="53">
    <w:abstractNumId w:val="27"/>
  </w:num>
  <w:num w:numId="54">
    <w:abstractNumId w:val="44"/>
  </w:num>
  <w:num w:numId="55">
    <w:abstractNumId w:val="35"/>
  </w:num>
  <w:num w:numId="56">
    <w:abstractNumId w:val="38"/>
  </w:num>
  <w:num w:numId="57">
    <w:abstractNumId w:val="45"/>
  </w:num>
  <w:num w:numId="58">
    <w:abstractNumId w:val="14"/>
  </w:num>
  <w:num w:numId="59">
    <w:abstractNumId w:val="28"/>
  </w:num>
  <w:num w:numId="60">
    <w:abstractNumId w:val="20"/>
  </w:num>
  <w:num w:numId="61">
    <w:abstractNumId w:val="23"/>
  </w:num>
  <w:num w:numId="62">
    <w:abstractNumId w:val="3"/>
  </w:num>
  <w:num w:numId="63">
    <w:abstractNumId w:val="57"/>
  </w:num>
  <w:num w:numId="64">
    <w:abstractNumId w:val="10"/>
  </w:num>
  <w:num w:numId="65">
    <w:abstractNumId w:val="2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49B9"/>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7B"/>
    <w:rsid w:val="006026A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653F"/>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C0451-8FC5-46CB-8BE5-777CF162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1102</Words>
  <Characters>6284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배덕현/선임연구원/차세대표준(연)5G표준Task(duckhyun.bae@lge.com)</cp:lastModifiedBy>
  <cp:revision>7</cp:revision>
  <cp:lastPrinted>2016-05-13T07:55:00Z</cp:lastPrinted>
  <dcterms:created xsi:type="dcterms:W3CDTF">2019-08-16T10:52:00Z</dcterms:created>
  <dcterms:modified xsi:type="dcterms:W3CDTF">2019-08-16T11:05:00Z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